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65" w:lineRule="atLeast"/>
        <w:ind w:firstLine="420" w:firstLineChars="0"/>
        <w:rPr>
          <w:rStyle w:val="6"/>
          <w:rFonts w:ascii="仿宋_GB2312" w:eastAsia="仿宋_GB2312" w:cs="仿宋_GB2312"/>
          <w:sz w:val="21"/>
          <w:szCs w:val="21"/>
        </w:rPr>
      </w:pPr>
      <w:r>
        <w:rPr>
          <w:rStyle w:val="6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招标编号：H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NRB</w:t>
      </w:r>
      <w:r>
        <w:rPr>
          <w:rFonts w:hint="eastAsia" w:ascii="仿宋_GB2312" w:hAnsi="宋体" w:eastAsia="仿宋_GB2312" w:cs="仿宋"/>
          <w:b/>
          <w:bCs/>
          <w:kern w:val="1"/>
          <w:sz w:val="24"/>
        </w:rPr>
        <w:t>-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 xml:space="preserve">YFZS-LQZZL-2023- 3 </w:t>
      </w:r>
    </w:p>
    <w:tbl>
      <w:tblPr>
        <w:tblStyle w:val="4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960" w:firstLineChars="4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720" w:firstLineChars="3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  <w:lang w:val="en-US" w:eastAsia="zh-CN"/>
              </w:rPr>
              <w:t>坦洲镇环洲东北路道路改造工程项目部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3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/包件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宋体" w:hAnsi="宋体"/>
          <w:vanish/>
          <w:szCs w:val="21"/>
        </w:rPr>
      </w:pPr>
      <w:bookmarkStart w:id="0" w:name="_Toc22989"/>
      <w:bookmarkStart w:id="1" w:name="_Toc19089"/>
    </w:p>
    <w:bookmarkEnd w:id="0"/>
    <w:bookmarkEnd w:id="1"/>
    <w:tbl>
      <w:tblPr>
        <w:tblStyle w:val="4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4"/>
              <w:tblW w:w="9249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8"/>
              <w:gridCol w:w="1312"/>
              <w:gridCol w:w="2106"/>
              <w:gridCol w:w="194"/>
              <w:gridCol w:w="1331"/>
              <w:gridCol w:w="2868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4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3612" w:type="dxa"/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2868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 xml:space="preserve">人民币: </w:t>
                  </w: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438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1.资产总额：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2.所有者权益：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438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4.流动负债：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名称:               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6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4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一分公司坦洲镇环洲东北路道路改造工程项目沥青混合料租站加工</w:t>
                  </w:r>
                  <w:bookmarkStart w:id="3" w:name="_GoBack"/>
                  <w:bookmarkEnd w:id="3"/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H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>NRB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-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 xml:space="preserve">YFZS-LQZZL-2023- 3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firstLine="210" w:firstLineChars="100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